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1BE" w14:textId="417FDB9A" w:rsidR="00CA5703" w:rsidRPr="00FE5405" w:rsidRDefault="00CA5703" w:rsidP="00CA5703">
      <w:pPr>
        <w:pStyle w:val="Heading1"/>
        <w:spacing w:before="0"/>
        <w:rPr>
          <w:lang w:val="en-GB"/>
        </w:rPr>
      </w:pPr>
      <w:bookmarkStart w:id="0" w:name="_Toc496891911"/>
      <w:bookmarkStart w:id="1" w:name="_Toc413329799"/>
      <w:bookmarkStart w:id="2" w:name="_Toc496891884"/>
      <w:bookmarkStart w:id="3" w:name="_Toc413251392"/>
      <w:bookmarkStart w:id="4" w:name="_Toc413251399"/>
      <w:bookmarkStart w:id="5" w:name="_Toc413329806"/>
      <w:bookmarkStart w:id="6" w:name="_Toc496891891"/>
      <w:bookmarkStart w:id="7" w:name="_Toc413251405"/>
      <w:bookmarkStart w:id="8" w:name="_Toc413329824"/>
      <w:r w:rsidRPr="00FE5405">
        <w:rPr>
          <w:lang w:val="en-GB"/>
        </w:rPr>
        <w:t>Procurement Assessment</w:t>
      </w:r>
      <w:bookmarkEnd w:id="0"/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CA5703" w:rsidRPr="00FE5405" w14:paraId="37DA3C2B" w14:textId="77777777" w:rsidTr="64AE9B88">
        <w:tc>
          <w:tcPr>
            <w:tcW w:w="14755" w:type="dxa"/>
            <w:shd w:val="clear" w:color="auto" w:fill="D9D9D9" w:themeFill="background1" w:themeFillShade="D9"/>
          </w:tcPr>
          <w:p w14:paraId="04338FD5" w14:textId="77777777" w:rsidR="00CA5703" w:rsidRPr="00FE5405" w:rsidRDefault="00CA5703" w:rsidP="00D96BDD"/>
          <w:p w14:paraId="3D45A0D5" w14:textId="2846962C" w:rsidR="64AE9B88" w:rsidRDefault="64AE9B88" w:rsidP="64AE9B88">
            <w:pPr>
              <w:rPr>
                <w:rFonts w:eastAsia="Arial"/>
                <w:szCs w:val="22"/>
              </w:rPr>
            </w:pPr>
            <w:r w:rsidRPr="64AE9B88">
              <w:rPr>
                <w:i/>
                <w:iCs/>
              </w:rPr>
              <w:t xml:space="preserve">Note: </w:t>
            </w:r>
            <w:r>
              <w:t>This procurement assessment is used when partnerships with CSO require the procurement of services or supplies exceeding US$</w:t>
            </w:r>
            <w:r w:rsidR="00912A20">
              <w:t>10</w:t>
            </w:r>
            <w:r>
              <w:t>,</w:t>
            </w:r>
            <w:r w:rsidR="00912A20">
              <w:t>0</w:t>
            </w:r>
            <w:r>
              <w:t xml:space="preserve">00 and a micro assessment is not available or required for the </w:t>
            </w:r>
            <w:r w:rsidRPr="64AE9B88">
              <w:rPr>
                <w:szCs w:val="22"/>
              </w:rPr>
              <w:t xml:space="preserve">CSO. </w:t>
            </w:r>
            <w:r w:rsidRPr="64AE9B88">
              <w:rPr>
                <w:rFonts w:eastAsia="Arial"/>
                <w:szCs w:val="22"/>
              </w:rPr>
              <w:t xml:space="preserve">In the case of sudden onset or rapid deterioration of a humanitarian crisis, where slowed delivery of supplies will negatively impact children and women, an assessment of procurement capacities is not required for immediate response but is undertaken within three months. </w:t>
            </w:r>
          </w:p>
          <w:p w14:paraId="2769B5CB" w14:textId="77777777" w:rsidR="00CA5703" w:rsidRPr="00FE5405" w:rsidRDefault="00CA5703" w:rsidP="00D96BDD">
            <w:pPr>
              <w:rPr>
                <w:highlight w:val="green"/>
              </w:rPr>
            </w:pPr>
          </w:p>
          <w:p w14:paraId="1D6FF787" w14:textId="77777777" w:rsidR="00CA5703" w:rsidRPr="00FE5405" w:rsidRDefault="00CA5703" w:rsidP="00D96BDD">
            <w:pPr>
              <w:rPr>
                <w:lang w:val="en-GB"/>
              </w:rPr>
            </w:pPr>
            <w:r w:rsidRPr="00FE5405">
              <w:rPr>
                <w:lang w:val="en-GB"/>
              </w:rPr>
              <w:t>Instructions:</w:t>
            </w:r>
            <w:r w:rsidRPr="00FE5405">
              <w:rPr>
                <w:lang w:val="en-GB"/>
              </w:rPr>
              <w:tab/>
            </w:r>
          </w:p>
          <w:p w14:paraId="6B77B428" w14:textId="77777777" w:rsidR="00CA5703" w:rsidRPr="00FE5405" w:rsidRDefault="00CA5703" w:rsidP="00D96BDD">
            <w:pPr>
              <w:pStyle w:val="ListParagraph"/>
              <w:numPr>
                <w:ilvl w:val="0"/>
                <w:numId w:val="97"/>
              </w:numPr>
            </w:pPr>
            <w:r w:rsidRPr="00FE5405">
              <w:t>Provide the template to the partner to complete or complete it through an interview with the CSO procurement / operations / finance staff.</w:t>
            </w:r>
          </w:p>
          <w:p w14:paraId="6A47529F" w14:textId="77777777" w:rsidR="00CA5703" w:rsidRPr="00FE5405" w:rsidRDefault="00CA5703" w:rsidP="00D96BDD">
            <w:pPr>
              <w:pStyle w:val="ListParagraph"/>
              <w:numPr>
                <w:ilvl w:val="0"/>
                <w:numId w:val="97"/>
              </w:numPr>
            </w:pPr>
            <w:r w:rsidRPr="00FE5405">
              <w:t>Review the answer and obtain evidence of the statements if applicable.</w:t>
            </w:r>
          </w:p>
          <w:p w14:paraId="4D3993C6" w14:textId="77777777" w:rsidR="00CA5703" w:rsidRPr="00FE5405" w:rsidRDefault="00CA5703" w:rsidP="00D96BDD">
            <w:pPr>
              <w:pStyle w:val="ListParagraph"/>
              <w:numPr>
                <w:ilvl w:val="0"/>
                <w:numId w:val="97"/>
              </w:numPr>
            </w:pPr>
            <w:r w:rsidRPr="00FE5405">
              <w:t>For each question assign low or high risk depending on the answer.</w:t>
            </w:r>
          </w:p>
          <w:p w14:paraId="34E6EFFE" w14:textId="77777777" w:rsidR="00CA5703" w:rsidRPr="00FE5405" w:rsidRDefault="00CA5703" w:rsidP="00D96BDD">
            <w:pPr>
              <w:pStyle w:val="ListParagraph"/>
              <w:numPr>
                <w:ilvl w:val="0"/>
                <w:numId w:val="97"/>
              </w:numPr>
            </w:pPr>
            <w:r w:rsidRPr="00FE5405">
              <w:t xml:space="preserve">If the assessment results in significant or high risk, UNICEF should procure the goods / services directly. </w:t>
            </w:r>
          </w:p>
          <w:p w14:paraId="1A91ADAE" w14:textId="6D2FEAEA" w:rsidR="00CA5703" w:rsidRPr="00FE5405" w:rsidRDefault="00CA5703" w:rsidP="00D96BDD">
            <w:pPr>
              <w:pStyle w:val="ListParagraph"/>
              <w:numPr>
                <w:ilvl w:val="0"/>
                <w:numId w:val="97"/>
              </w:numPr>
            </w:pPr>
            <w:r w:rsidRPr="00FE5405">
              <w:t xml:space="preserve">If the assessment results in significant or high risk and the office determines to allow the IP to do </w:t>
            </w:r>
            <w:r w:rsidRPr="00FF5ED1">
              <w:t>large value</w:t>
            </w:r>
            <w:r w:rsidRPr="00FE5405">
              <w:t xml:space="preserve"> procurement, the programme officer documents the rationale, the risk mitigating measures put in place and obtains approval from the budget owner as per the table of authority in the office.</w:t>
            </w:r>
          </w:p>
          <w:p w14:paraId="61C0ADD9" w14:textId="77777777" w:rsidR="00CA5703" w:rsidRPr="00FE5405" w:rsidRDefault="00CA5703" w:rsidP="00D96BDD"/>
        </w:tc>
      </w:tr>
    </w:tbl>
    <w:p w14:paraId="4A430B65" w14:textId="77777777" w:rsidR="00CA5703" w:rsidRPr="00FE5405" w:rsidRDefault="00CA5703" w:rsidP="00CA5703">
      <w:pPr>
        <w:rPr>
          <w:szCs w:val="22"/>
          <w:lang w:val="en-GB"/>
        </w:r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4460"/>
        <w:gridCol w:w="1059"/>
        <w:gridCol w:w="4720"/>
        <w:gridCol w:w="1302"/>
        <w:gridCol w:w="3209"/>
      </w:tblGrid>
      <w:tr w:rsidR="00CA5703" w:rsidRPr="00FE5405" w14:paraId="42974176" w14:textId="77777777" w:rsidTr="00D96BDD">
        <w:trPr>
          <w:trHeight w:val="33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919105D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Implementing Partner: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1957E21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F147042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Date:</w:t>
            </w:r>
          </w:p>
        </w:tc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E237DA0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6750B5A2" w14:textId="77777777" w:rsidTr="00D96BDD">
        <w:trPr>
          <w:trHeight w:val="60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FB719A5" w14:textId="77777777" w:rsidR="00CA5703" w:rsidRPr="00FE5405" w:rsidRDefault="00CA5703" w:rsidP="00D96BDD">
            <w:pPr>
              <w:contextualSpacing w:val="0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>Procurement Question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E5F973F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>Yes / No / NA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43A3097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>Brief Description or link to policy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766EF7E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FFFFFF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FFFFFF"/>
                <w:szCs w:val="22"/>
                <w:lang w:val="en-GB"/>
              </w:rPr>
              <w:t>For UNICEF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2FE780F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>Points Allocation</w:t>
            </w:r>
          </w:p>
        </w:tc>
      </w:tr>
      <w:tr w:rsidR="00CA5703" w:rsidRPr="00FE5405" w14:paraId="48E6016E" w14:textId="77777777" w:rsidTr="00D96BDD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EE0E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1. Does the IP have written procurement policies and procedures?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5FA2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ADCE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A9D84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9971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76AB712F" w14:textId="77777777" w:rsidTr="00D96BDD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BC17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2. Does the IP require written or system authorizations for purchases with adequate access controls and segregation of duties between entering purchase orders, approval and receiving of goods?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41C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9346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E3BABF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Yes = Low Risk (1 point)</w:t>
            </w: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br/>
            </w: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br/>
              <w:t>No = High Risk (4 points)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14D1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775F4CB0" w14:textId="77777777" w:rsidTr="00D96BDD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216B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3. Does the IP obtain sufficient approvals before signing a contract in accordance with the IP table of authorities?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DDC2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5E27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CF9E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A4E2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10D9C454" w14:textId="77777777" w:rsidTr="00D96BDD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ECEF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lastRenderedPageBreak/>
              <w:t xml:space="preserve">4. Does the IP follow a well-defined process for sourcing suppliers and prequalifying suppliers, or do formal procurement methods include wide broadcasting of procurement opportunities?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D02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2156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AF24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6DC2E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3D7721F2" w14:textId="77777777" w:rsidTr="00D96BDD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887C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5. Does the IP follow a well-defined process to ensure a secure and transparent bid and evaluation process?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8D6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E7FF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E06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20498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044C6148" w14:textId="77777777" w:rsidTr="00D96BDD">
        <w:trPr>
          <w:trHeight w:val="15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1BE1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6. When a formal invitation to bid has been issued, does the IP award the contract on a pre-defined basis set out in the solicitation documentation </w:t>
            </w:r>
            <w:proofErr w:type="gramStart"/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taking into account</w:t>
            </w:r>
            <w:proofErr w:type="gramEnd"/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 technical responsiveness and price?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DD9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3FC5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3C69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6BCC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 </w:t>
            </w:r>
          </w:p>
        </w:tc>
      </w:tr>
      <w:tr w:rsidR="00CA5703" w:rsidRPr="00FE5405" w14:paraId="759D50A9" w14:textId="77777777" w:rsidTr="00D96BDD">
        <w:trPr>
          <w:trHeight w:val="537"/>
        </w:trPr>
        <w:tc>
          <w:tcPr>
            <w:tcW w:w="10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CB77D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 xml:space="preserve">Average Risk Points 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57EFF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</w:tr>
    </w:tbl>
    <w:p w14:paraId="2F2C53C0" w14:textId="77777777" w:rsidR="00CA5703" w:rsidRPr="00FE5405" w:rsidRDefault="00CA5703" w:rsidP="00CA5703">
      <w:pPr>
        <w:rPr>
          <w:szCs w:val="22"/>
        </w:rPr>
      </w:pPr>
    </w:p>
    <w:tbl>
      <w:tblPr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6"/>
        <w:gridCol w:w="1307"/>
      </w:tblGrid>
      <w:tr w:rsidR="00CA5703" w:rsidRPr="00FE5405" w14:paraId="708CA7A5" w14:textId="77777777" w:rsidTr="00D96BDD">
        <w:trPr>
          <w:trHeight w:val="54"/>
          <w:jc w:val="right"/>
        </w:trPr>
        <w:tc>
          <w:tcPr>
            <w:tcW w:w="17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295C1A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Average Number of Points</w:t>
            </w:r>
          </w:p>
        </w:tc>
        <w:tc>
          <w:tcPr>
            <w:tcW w:w="13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632A910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Risk Rating</w:t>
            </w:r>
          </w:p>
        </w:tc>
      </w:tr>
      <w:tr w:rsidR="00CA5703" w:rsidRPr="00FE5405" w14:paraId="772632B6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5F08672A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606AAAC5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High</w:t>
            </w:r>
          </w:p>
        </w:tc>
      </w:tr>
      <w:tr w:rsidR="00CA5703" w:rsidRPr="00FE5405" w14:paraId="569C6157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0F74669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7F901C58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Significant</w:t>
            </w:r>
          </w:p>
        </w:tc>
      </w:tr>
      <w:tr w:rsidR="00CA5703" w:rsidRPr="00FE5405" w14:paraId="1B130674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84F2CBC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2073F1E1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Moderate</w:t>
            </w:r>
          </w:p>
        </w:tc>
      </w:tr>
      <w:tr w:rsidR="00CA5703" w:rsidRPr="00FE5405" w14:paraId="4B6F9333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43EB4F1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14:paraId="3545A249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Low</w:t>
            </w:r>
          </w:p>
        </w:tc>
      </w:tr>
    </w:tbl>
    <w:p w14:paraId="126EECB6" w14:textId="77777777" w:rsidR="00CA5703" w:rsidRPr="00FE5405" w:rsidRDefault="00CA5703" w:rsidP="00CA570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224"/>
        <w:gridCol w:w="6701"/>
      </w:tblGrid>
      <w:tr w:rsidR="00CA5703" w:rsidRPr="00FE5405" w14:paraId="7F78D499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447BCC25" w14:textId="77777777" w:rsidR="00CA5703" w:rsidRPr="00FE5405" w:rsidRDefault="00CA5703" w:rsidP="00D96BDD">
            <w:pPr>
              <w:jc w:val="left"/>
              <w:rPr>
                <w:szCs w:val="22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Prepared by:</w:t>
            </w:r>
          </w:p>
        </w:tc>
        <w:tc>
          <w:tcPr>
            <w:tcW w:w="5224" w:type="dxa"/>
            <w:tcBorders>
              <w:bottom w:val="single" w:sz="4" w:space="0" w:color="auto"/>
              <w:right w:val="single" w:sz="4" w:space="0" w:color="auto"/>
            </w:tcBorders>
          </w:tcPr>
          <w:p w14:paraId="5C5392F6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9DA50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FE5405" w14:paraId="0A8E4CBB" w14:textId="77777777" w:rsidTr="00D96BDD">
        <w:trPr>
          <w:trHeight w:val="571"/>
        </w:trPr>
        <w:tc>
          <w:tcPr>
            <w:tcW w:w="2830" w:type="dxa"/>
          </w:tcPr>
          <w:p w14:paraId="5980F1DC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90" w14:textId="77777777" w:rsidR="00CA5703" w:rsidRPr="00FE5405" w:rsidRDefault="00CA5703" w:rsidP="00D96BDD">
            <w:pPr>
              <w:rPr>
                <w:szCs w:val="22"/>
              </w:rPr>
            </w:pPr>
            <w:r w:rsidRPr="00FE5405">
              <w:rPr>
                <w:rFonts w:eastAsia="Times New Roman"/>
                <w:bCs w:val="0"/>
                <w:i/>
                <w:iCs/>
                <w:color w:val="000000"/>
                <w:szCs w:val="22"/>
                <w:lang w:val="en-GB"/>
              </w:rPr>
              <w:t>Name and Date of IP Authorized Officer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13296" w14:textId="77777777" w:rsidR="00CA5703" w:rsidRPr="00FE5405" w:rsidRDefault="00CA5703" w:rsidP="00D96BDD">
            <w:pPr>
              <w:rPr>
                <w:szCs w:val="22"/>
              </w:rPr>
            </w:pPr>
            <w:r w:rsidRPr="00FE5405">
              <w:rPr>
                <w:rFonts w:eastAsia="Times New Roman"/>
                <w:bCs w:val="0"/>
                <w:i/>
                <w:iCs/>
                <w:color w:val="000000"/>
                <w:szCs w:val="22"/>
                <w:lang w:val="en-GB"/>
              </w:rPr>
              <w:t>Name and Date of UNICEF Officer</w:t>
            </w:r>
          </w:p>
        </w:tc>
      </w:tr>
    </w:tbl>
    <w:p w14:paraId="10226A2B" w14:textId="77777777" w:rsidR="00CA5703" w:rsidRPr="00FE5405" w:rsidRDefault="00CA5703" w:rsidP="00CA5703">
      <w:pPr>
        <w:rPr>
          <w:szCs w:val="22"/>
        </w:rPr>
      </w:pPr>
    </w:p>
    <w:p w14:paraId="134FAAFF" w14:textId="77777777" w:rsidR="00CA5703" w:rsidRPr="00FE5405" w:rsidRDefault="00CA5703" w:rsidP="00CA5703">
      <w:pPr>
        <w:rPr>
          <w:rFonts w:eastAsia="Times New Roman"/>
          <w:bCs w:val="0"/>
          <w:color w:val="000000"/>
          <w:szCs w:val="22"/>
          <w:lang w:val="en-GB"/>
        </w:rPr>
      </w:pPr>
      <w:r w:rsidRPr="00FE5405">
        <w:rPr>
          <w:rFonts w:eastAsia="Times New Roman"/>
          <w:bCs w:val="0"/>
          <w:color w:val="000000"/>
          <w:szCs w:val="22"/>
          <w:lang w:val="en-GB"/>
        </w:rPr>
        <w:t>In case of significant or high risk and the Office decides to allow the IP to procure directly, provide explanation below and risk mitigating measures:</w:t>
      </w:r>
    </w:p>
    <w:p w14:paraId="725FB507" w14:textId="77777777" w:rsidR="00CA5703" w:rsidRPr="00FE5405" w:rsidRDefault="00CA5703" w:rsidP="00CA5703">
      <w:pPr>
        <w:rPr>
          <w:rFonts w:eastAsia="Times New Roman"/>
          <w:bCs w:val="0"/>
          <w:color w:val="000000"/>
          <w:szCs w:val="22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5"/>
      </w:tblGrid>
      <w:tr w:rsidR="00CA5703" w:rsidRPr="00FE5405" w14:paraId="026251B6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5CB0B6D1" w14:textId="77777777" w:rsidR="00CA5703" w:rsidRPr="00FE5405" w:rsidRDefault="00CA5703" w:rsidP="00D96BDD">
            <w:pPr>
              <w:rPr>
                <w:szCs w:val="22"/>
              </w:rPr>
            </w:pPr>
            <w:proofErr w:type="gramStart"/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lastRenderedPageBreak/>
              <w:t>Rationale :</w:t>
            </w:r>
            <w:proofErr w:type="gramEnd"/>
          </w:p>
        </w:tc>
      </w:tr>
      <w:tr w:rsidR="00CA5703" w:rsidRPr="00FE5405" w14:paraId="4BDA042D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10E5682B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Mitigating measures:</w:t>
            </w:r>
          </w:p>
        </w:tc>
      </w:tr>
    </w:tbl>
    <w:p w14:paraId="05DF18EE" w14:textId="77777777" w:rsidR="00CA5703" w:rsidRPr="00FE5405" w:rsidRDefault="00CA5703" w:rsidP="00CA5703">
      <w:pPr>
        <w:rPr>
          <w:szCs w:val="22"/>
        </w:rPr>
      </w:pPr>
    </w:p>
    <w:p w14:paraId="5ACC091F" w14:textId="77777777" w:rsidR="00CA5703" w:rsidRPr="00FE5405" w:rsidRDefault="00CA5703" w:rsidP="00CA5703">
      <w:pPr>
        <w:rPr>
          <w:szCs w:val="22"/>
        </w:rPr>
      </w:pPr>
    </w:p>
    <w:tbl>
      <w:tblPr>
        <w:tblStyle w:val="TableGrid"/>
        <w:tblW w:w="145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0185"/>
      </w:tblGrid>
      <w:tr w:rsidR="00CA5703" w:rsidRPr="00FE5405" w14:paraId="2655EB8A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6086DFF9" w14:textId="77777777" w:rsidR="00CA5703" w:rsidRPr="00FE5405" w:rsidRDefault="00CA5703" w:rsidP="00D96BDD">
            <w:pPr>
              <w:jc w:val="left"/>
              <w:rPr>
                <w:szCs w:val="22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Approved by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4B3B02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10185" w:type="dxa"/>
            <w:tcBorders>
              <w:bottom w:val="single" w:sz="4" w:space="0" w:color="auto"/>
            </w:tcBorders>
          </w:tcPr>
          <w:p w14:paraId="2E23969E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FE5405" w14:paraId="254990EF" w14:textId="77777777" w:rsidTr="00D96BDD">
        <w:trPr>
          <w:trHeight w:val="571"/>
        </w:trPr>
        <w:tc>
          <w:tcPr>
            <w:tcW w:w="2830" w:type="dxa"/>
          </w:tcPr>
          <w:p w14:paraId="4939D331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67D245" w14:textId="77777777" w:rsidR="00CA5703" w:rsidRPr="00FE5405" w:rsidRDefault="00CA5703" w:rsidP="00D96BDD">
            <w:pPr>
              <w:jc w:val="left"/>
              <w:rPr>
                <w:szCs w:val="22"/>
              </w:rPr>
            </w:pPr>
            <w:r w:rsidRPr="00FE5405">
              <w:rPr>
                <w:szCs w:val="22"/>
              </w:rPr>
              <w:t>Date</w:t>
            </w: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14:paraId="0BFA883F" w14:textId="77777777" w:rsidR="00CA5703" w:rsidRPr="004132D6" w:rsidRDefault="00CA5703" w:rsidP="00D96BDD">
            <w:pPr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 xml:space="preserve">Deputy Representative 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1249F592" w14:textId="77777777" w:rsidR="00CA5703" w:rsidRPr="00FE5405" w:rsidRDefault="00CA5703" w:rsidP="00CA5703">
      <w:pPr>
        <w:rPr>
          <w:szCs w:val="22"/>
        </w:rPr>
      </w:pPr>
    </w:p>
    <w:sectPr w:rsidR="00CA5703" w:rsidRPr="00FE5405" w:rsidSect="00440A9D">
      <w:headerReference w:type="default" r:id="rId12"/>
      <w:footerReference w:type="default" r:id="rId13"/>
      <w:pgSz w:w="16838" w:h="11906" w:orient="landscape" w:code="9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5B2D" w14:textId="77777777" w:rsidR="00F36E3C" w:rsidRDefault="00F36E3C" w:rsidP="007D4F6E">
      <w:r>
        <w:separator/>
      </w:r>
    </w:p>
  </w:endnote>
  <w:endnote w:type="continuationSeparator" w:id="0">
    <w:p w14:paraId="70E3212D" w14:textId="77777777" w:rsidR="00F36E3C" w:rsidRDefault="00F36E3C" w:rsidP="007D4F6E">
      <w:r>
        <w:continuationSeparator/>
      </w:r>
    </w:p>
  </w:endnote>
  <w:endnote w:type="continuationNotice" w:id="1">
    <w:p w14:paraId="4BE413A1" w14:textId="77777777" w:rsidR="00F36E3C" w:rsidRDefault="00F36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Calibri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7833D337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286FF7">
          <w:rPr>
            <w:noProof/>
          </w:rPr>
          <w:t>2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2061" w14:textId="77777777" w:rsidR="00F36E3C" w:rsidRDefault="00F36E3C" w:rsidP="007D4F6E">
      <w:r>
        <w:separator/>
      </w:r>
    </w:p>
  </w:footnote>
  <w:footnote w:type="continuationSeparator" w:id="0">
    <w:p w14:paraId="60A152BA" w14:textId="77777777" w:rsidR="00F36E3C" w:rsidRDefault="00F36E3C" w:rsidP="007D4F6E">
      <w:r>
        <w:continuationSeparator/>
      </w:r>
    </w:p>
  </w:footnote>
  <w:footnote w:type="continuationNotice" w:id="1">
    <w:p w14:paraId="2CB34C3F" w14:textId="77777777" w:rsidR="00F36E3C" w:rsidRDefault="00F36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4249" w14:textId="40ADB143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91"/>
  </w:num>
  <w:num w:numId="3">
    <w:abstractNumId w:val="25"/>
  </w:num>
  <w:num w:numId="4">
    <w:abstractNumId w:val="63"/>
  </w:num>
  <w:num w:numId="5">
    <w:abstractNumId w:val="62"/>
  </w:num>
  <w:num w:numId="6">
    <w:abstractNumId w:val="48"/>
  </w:num>
  <w:num w:numId="7">
    <w:abstractNumId w:val="96"/>
  </w:num>
  <w:num w:numId="8">
    <w:abstractNumId w:val="28"/>
  </w:num>
  <w:num w:numId="9">
    <w:abstractNumId w:val="78"/>
  </w:num>
  <w:num w:numId="10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26"/>
  </w:num>
  <w:num w:numId="12">
    <w:abstractNumId w:val="34"/>
  </w:num>
  <w:num w:numId="13">
    <w:abstractNumId w:val="64"/>
  </w:num>
  <w:num w:numId="14">
    <w:abstractNumId w:val="79"/>
  </w:num>
  <w:num w:numId="15">
    <w:abstractNumId w:val="40"/>
  </w:num>
  <w:num w:numId="16">
    <w:abstractNumId w:val="30"/>
  </w:num>
  <w:num w:numId="17">
    <w:abstractNumId w:val="3"/>
  </w:num>
  <w:num w:numId="18">
    <w:abstractNumId w:val="68"/>
  </w:num>
  <w:num w:numId="19">
    <w:abstractNumId w:val="10"/>
  </w:num>
  <w:num w:numId="20">
    <w:abstractNumId w:val="8"/>
  </w:num>
  <w:num w:numId="21">
    <w:abstractNumId w:val="5"/>
  </w:num>
  <w:num w:numId="22">
    <w:abstractNumId w:val="43"/>
  </w:num>
  <w:num w:numId="23">
    <w:abstractNumId w:val="9"/>
  </w:num>
  <w:num w:numId="24">
    <w:abstractNumId w:val="49"/>
  </w:num>
  <w:num w:numId="25">
    <w:abstractNumId w:val="69"/>
  </w:num>
  <w:num w:numId="26">
    <w:abstractNumId w:val="60"/>
  </w:num>
  <w:num w:numId="27">
    <w:abstractNumId w:val="16"/>
  </w:num>
  <w:num w:numId="28">
    <w:abstractNumId w:val="11"/>
  </w:num>
  <w:num w:numId="29">
    <w:abstractNumId w:val="42"/>
  </w:num>
  <w:num w:numId="30">
    <w:abstractNumId w:val="83"/>
  </w:num>
  <w:num w:numId="31">
    <w:abstractNumId w:val="27"/>
  </w:num>
  <w:num w:numId="32">
    <w:abstractNumId w:val="51"/>
  </w:num>
  <w:num w:numId="33">
    <w:abstractNumId w:val="88"/>
  </w:num>
  <w:num w:numId="34">
    <w:abstractNumId w:val="2"/>
  </w:num>
  <w:num w:numId="35">
    <w:abstractNumId w:val="73"/>
  </w:num>
  <w:num w:numId="36">
    <w:abstractNumId w:val="33"/>
  </w:num>
  <w:num w:numId="37">
    <w:abstractNumId w:val="58"/>
  </w:num>
  <w:num w:numId="38">
    <w:abstractNumId w:val="19"/>
  </w:num>
  <w:num w:numId="39">
    <w:abstractNumId w:val="76"/>
  </w:num>
  <w:num w:numId="40">
    <w:abstractNumId w:val="80"/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4"/>
  </w:num>
  <w:num w:numId="44">
    <w:abstractNumId w:val="85"/>
  </w:num>
  <w:num w:numId="45">
    <w:abstractNumId w:val="94"/>
  </w:num>
  <w:num w:numId="46">
    <w:abstractNumId w:val="92"/>
  </w:num>
  <w:num w:numId="47">
    <w:abstractNumId w:val="37"/>
  </w:num>
  <w:num w:numId="48">
    <w:abstractNumId w:val="84"/>
  </w:num>
  <w:num w:numId="49">
    <w:abstractNumId w:val="75"/>
  </w:num>
  <w:num w:numId="50">
    <w:abstractNumId w:val="41"/>
  </w:num>
  <w:num w:numId="51">
    <w:abstractNumId w:val="59"/>
  </w:num>
  <w:num w:numId="52">
    <w:abstractNumId w:val="70"/>
  </w:num>
  <w:num w:numId="53">
    <w:abstractNumId w:val="72"/>
  </w:num>
  <w:num w:numId="54">
    <w:abstractNumId w:val="86"/>
  </w:num>
  <w:num w:numId="55">
    <w:abstractNumId w:val="12"/>
  </w:num>
  <w:num w:numId="56">
    <w:abstractNumId w:val="22"/>
  </w:num>
  <w:num w:numId="57">
    <w:abstractNumId w:val="45"/>
  </w:num>
  <w:num w:numId="58">
    <w:abstractNumId w:val="55"/>
  </w:num>
  <w:num w:numId="59">
    <w:abstractNumId w:val="47"/>
  </w:num>
  <w:num w:numId="60">
    <w:abstractNumId w:val="38"/>
  </w:num>
  <w:num w:numId="61">
    <w:abstractNumId w:val="87"/>
  </w:num>
  <w:num w:numId="62">
    <w:abstractNumId w:val="35"/>
  </w:num>
  <w:num w:numId="63">
    <w:abstractNumId w:val="31"/>
  </w:num>
  <w:num w:numId="64">
    <w:abstractNumId w:val="17"/>
  </w:num>
  <w:num w:numId="65">
    <w:abstractNumId w:val="90"/>
  </w:num>
  <w:num w:numId="66">
    <w:abstractNumId w:val="44"/>
  </w:num>
  <w:num w:numId="67">
    <w:abstractNumId w:val="1"/>
  </w:num>
  <w:num w:numId="68">
    <w:abstractNumId w:val="61"/>
  </w:num>
  <w:num w:numId="69">
    <w:abstractNumId w:val="29"/>
  </w:num>
  <w:num w:numId="70">
    <w:abstractNumId w:val="6"/>
  </w:num>
  <w:num w:numId="71">
    <w:abstractNumId w:val="66"/>
  </w:num>
  <w:num w:numId="72">
    <w:abstractNumId w:val="36"/>
  </w:num>
  <w:num w:numId="73">
    <w:abstractNumId w:val="15"/>
  </w:num>
  <w:num w:numId="74">
    <w:abstractNumId w:val="53"/>
  </w:num>
  <w:num w:numId="75">
    <w:abstractNumId w:val="46"/>
  </w:num>
  <w:num w:numId="76">
    <w:abstractNumId w:val="71"/>
  </w:num>
  <w:num w:numId="77">
    <w:abstractNumId w:val="93"/>
  </w:num>
  <w:num w:numId="78">
    <w:abstractNumId w:val="81"/>
  </w:num>
  <w:num w:numId="79">
    <w:abstractNumId w:val="23"/>
  </w:num>
  <w:num w:numId="80">
    <w:abstractNumId w:val="14"/>
  </w:num>
  <w:num w:numId="81">
    <w:abstractNumId w:val="32"/>
  </w:num>
  <w:num w:numId="82">
    <w:abstractNumId w:val="67"/>
  </w:num>
  <w:num w:numId="83">
    <w:abstractNumId w:val="56"/>
  </w:num>
  <w:num w:numId="84">
    <w:abstractNumId w:val="7"/>
  </w:num>
  <w:num w:numId="85">
    <w:abstractNumId w:val="82"/>
  </w:num>
  <w:num w:numId="86">
    <w:abstractNumId w:val="24"/>
  </w:num>
  <w:num w:numId="87">
    <w:abstractNumId w:val="50"/>
  </w:num>
  <w:num w:numId="88">
    <w:abstractNumId w:val="100"/>
  </w:num>
  <w:num w:numId="89">
    <w:abstractNumId w:val="74"/>
  </w:num>
  <w:num w:numId="90">
    <w:abstractNumId w:val="18"/>
  </w:num>
  <w:num w:numId="91">
    <w:abstractNumId w:val="21"/>
  </w:num>
  <w:num w:numId="92">
    <w:abstractNumId w:val="77"/>
  </w:num>
  <w:num w:numId="93">
    <w:abstractNumId w:val="95"/>
  </w:num>
  <w:num w:numId="94">
    <w:abstractNumId w:val="99"/>
  </w:num>
  <w:num w:numId="95">
    <w:abstractNumId w:val="57"/>
  </w:num>
  <w:num w:numId="96">
    <w:abstractNumId w:val="13"/>
  </w:num>
  <w:num w:numId="97">
    <w:abstractNumId w:val="39"/>
  </w:num>
  <w:num w:numId="98">
    <w:abstractNumId w:val="89"/>
  </w:num>
  <w:num w:numId="99">
    <w:abstractNumId w:val="4"/>
  </w:num>
  <w:num w:numId="10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900B5"/>
    <w:rsid w:val="001902B2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114AF"/>
    <w:rsid w:val="00216A1D"/>
    <w:rsid w:val="002200FE"/>
    <w:rsid w:val="0022299E"/>
    <w:rsid w:val="002230B9"/>
    <w:rsid w:val="00223B0B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85284"/>
    <w:rsid w:val="00286464"/>
    <w:rsid w:val="00286FF7"/>
    <w:rsid w:val="002902BC"/>
    <w:rsid w:val="0029095E"/>
    <w:rsid w:val="002922B8"/>
    <w:rsid w:val="00292336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7012"/>
    <w:rsid w:val="003D06D6"/>
    <w:rsid w:val="003D4470"/>
    <w:rsid w:val="003D7647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D2422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5940"/>
    <w:rsid w:val="00565E0B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2B3B"/>
    <w:rsid w:val="006567ED"/>
    <w:rsid w:val="00660117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4EE9"/>
    <w:rsid w:val="006D631E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74F4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508CF"/>
    <w:rsid w:val="0085353F"/>
    <w:rsid w:val="008535A4"/>
    <w:rsid w:val="00853E0A"/>
    <w:rsid w:val="00853FDB"/>
    <w:rsid w:val="0085680E"/>
    <w:rsid w:val="0086512D"/>
    <w:rsid w:val="00877B41"/>
    <w:rsid w:val="00883E0D"/>
    <w:rsid w:val="0088420B"/>
    <w:rsid w:val="00885074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2A20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18D9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2C84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29BA"/>
    <w:rsid w:val="009F6580"/>
    <w:rsid w:val="009F6DF1"/>
    <w:rsid w:val="00A00643"/>
    <w:rsid w:val="00A023AF"/>
    <w:rsid w:val="00A10257"/>
    <w:rsid w:val="00A11AEF"/>
    <w:rsid w:val="00A16B4A"/>
    <w:rsid w:val="00A21296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0580B"/>
    <w:rsid w:val="00B10906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746E8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41919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1626"/>
    <w:rsid w:val="00D8450A"/>
    <w:rsid w:val="00D91CEC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46E8"/>
    <w:rsid w:val="00DE06DA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28B7"/>
    <w:rsid w:val="00F36E3C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2665"/>
    <w:rsid w:val="00FF3264"/>
    <w:rsid w:val="00FF5ED1"/>
    <w:rsid w:val="00FF72B9"/>
    <w:rsid w:val="64AE9B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umber xmlns="cff27e36-db95-4d25-a8d8-d807b6bb7b59">Missing Value</Document_x0020_Number>
    <Document_x0020_Category xmlns="cff27e36-db95-4d25-a8d8-d807b6bb7b59">Form</Document_x0020_Category>
    <Business_x0020_Owner xmlns="cff27e36-db95-4d25-a8d8-d807b6bb7b59">8</Business_x0020_Owner>
    <_dlc_DocId xmlns="990381dc-748f-4d49-9b03-90f59279d610">PRTL-1206532115-19</_dlc_DocId>
    <_dlc_DocIdUrl xmlns="990381dc-748f-4d49-9b03-90f59279d610">
      <Url>https://unicef.sharepoint.com/sites/portals/RF/_layouts/15/DocIdRedir.aspx?ID=PRTL-1206532115-19</Url>
      <Description>PRTL-1206532115-19</Description>
    </_dlc_DocIdUrl>
    <Manager xmlns="cff27e36-db95-4d25-a8d8-d807b6bb7b59">
      <UserInfo>
        <DisplayName>Etleva Kadilli</DisplayName>
        <AccountId>4851</AccountId>
        <AccountType/>
      </UserInfo>
    </Manager>
    <Corporate_x0020_Risk_x0020_Area xmlns="cff27e36-db95-4d25-a8d8-d807b6bb7b59"/>
    <Topics_x0020_Covered xmlns="cff27e36-db95-4d25-a8d8-d807b6bb7b59" xsi:nil="true"/>
    <Mandatory_x0020_Review_x0020_Date xmlns="cff27e36-db95-4d25-a8d8-d807b6bb7b59">2021-02-15T05:00:00+00:00</Mandatory_x0020_Review_x0020_Date>
    <Intended_x0020_Audience xmlns="cff27e36-db95-4d25-a8d8-d807b6bb7b59"/>
    <Effective_x0020_Date xmlns="cff27e36-db95-4d25-a8d8-d807b6bb7b59">2019-02-15T05:00:00+00:00</Effective_x0020_Date>
    <Language xmlns="cff27e36-db95-4d25-a8d8-d807b6bb7b59">English</Language>
    <Reference_x0020__x002f__x0020_Links_x0020_to_x0020_Enabling_x0020_Legislation_x0020_and_x0020_Background xmlns="cff27e36-db95-4d25-a8d8-d807b6bb7b59" xsi:nil="true"/>
    <TaxCatchAll xmlns="ca283e0b-db31-4043-a2ef-b80661bf084a"/>
    <Topic xmlns="cff27e36-db95-4d25-a8d8-d807b6bb7b59" xsi:nil="true"/>
    <Archived_x0020_Date xmlns="cff27e36-db95-4d25-a8d8-d807b6bb7b59" xsi:nil="true"/>
    <Issuance_x0020_Year xmlns="cff27e36-db95-4d25-a8d8-d807b6bb7b59" xsi:nil="true"/>
    <Links_x0020_to_x0020_Other_x0020_Knowledge_x0020__x0026__x0020_Information_x0020_Resources xmlns="cff27e36-db95-4d25-a8d8-d807b6bb7b59" xsi:nil="true"/>
    <RelatedDocuments xmlns="cff27e36-db95-4d25-a8d8-d807b6bb7b59"/>
    <Document_x0020_Summary xmlns="cff27e36-db95-4d25-a8d8-d807b6bb7b59" xsi:nil="true"/>
    <Links_x0020_to_x0020_Relevant_x0020_Procedure xmlns="cff27e36-db95-4d25-a8d8-d807b6bb7b59" xsi:nil="true"/>
    <MetricStreamId xmlns="cff27e36-db95-4d25-a8d8-d807b6bb7b59">111193</MetricStreamId>
    <RelatedPolicies xmlns="cff27e36-db95-4d25-a8d8-d807b6bb7b59"/>
    <Comments xmlns="cff27e36-db95-4d25-a8d8-d807b6bb7b59" xsi:nil="true"/>
    <Co_x002d_owned_x0020_By xmlns="cff27e36-db95-4d25-a8d8-d807b6bb7b59"/>
    <Links_x0020_to_x0020_Relevant_x0020_Policy xmlns="cff27e36-db95-4d25-a8d8-d807b6bb7b59" xsi:nil="true"/>
    <Archive xmlns="cff27e36-db95-4d25-a8d8-d807b6bb7b59">false</Archive>
    <Last_x0020_Review_x0020_Date xmlns="cff27e36-db95-4d25-a8d8-d807b6bb7b59" xsi:nil="true"/>
    <Links_x0020_to_x0020_Relevant_x0020_Guidance xmlns="cff27e36-db95-4d25-a8d8-d807b6bb7b59" xsi:nil="true"/>
    <jeba930349ea471abec191d3eb2f454e xmlns="cff27e36-db95-4d25-a8d8-d807b6bb7b59">
      <Terms xmlns="http://schemas.microsoft.com/office/infopath/2007/PartnerControls"/>
    </jeba930349ea471abec191d3eb2f454e>
    <Links_x0020_to_x0020_Relevant_x0020_Training_x0020_Materials xmlns="cff27e36-db95-4d25-a8d8-d807b6bb7b59" xsi:nil="true"/>
    <ReferenceURLName xmlns="cff27e36-db95-4d25-a8d8-d807b6bb7b59" xsi:nil="true"/>
    <ReferenceURL xmlns="cff27e36-db95-4d25-a8d8-d807b6bb7b59" xsi:nil="true"/>
    <Regulatory_x0020_content_x0020_the_x0020_Document_x0020_Replaces xmlns="cff27e36-db95-4d25-a8d8-d807b6bb7b59" xsi:nil="true"/>
    <Referenced_x0020_in_x0020_policy_x0020_document xmlns="cff27e36-db95-4d25-a8d8-d807b6bb7b59" xsi:nil="true"/>
    <DocumentAuthor xmlns="cff27e36-db95-4d25-a8d8-d807b6bb7b59">
      <UserInfo>
        <DisplayName>Bastiaan Van't Hoff</DisplayName>
        <AccountId>438</AccountId>
        <AccountType/>
      </UserInfo>
    </DocumentAuthor>
    <eGRCManager xmlns="cff27e36-db95-4d25-a8d8-d807b6bb7b59">ekadilli@unicef.org</eGRCManager>
    <UnicefDocumentNumber xmlns="cff27e36-db95-4d25-a8d8-d807b6bb7b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6E552187AC741A58E908B86A122C2" ma:contentTypeVersion="70" ma:contentTypeDescription="Create a new document." ma:contentTypeScope="" ma:versionID="f208122357db959c0e2225799cb85a3f">
  <xsd:schema xmlns:xsd="http://www.w3.org/2001/XMLSchema" xmlns:xs="http://www.w3.org/2001/XMLSchema" xmlns:p="http://schemas.microsoft.com/office/2006/metadata/properties" xmlns:ns2="cff27e36-db95-4d25-a8d8-d807b6bb7b59" xmlns:ns3="990381dc-748f-4d49-9b03-90f59279d610" xmlns:ns4="ca283e0b-db31-4043-a2ef-b80661bf084a" targetNamespace="http://schemas.microsoft.com/office/2006/metadata/properties" ma:root="true" ma:fieldsID="6b18ee37852024d46dbb4340cf7d0a8c" ns2:_="" ns3:_="" ns4:_="">
    <xsd:import namespace="cff27e36-db95-4d25-a8d8-d807b6bb7b59"/>
    <xsd:import namespace="990381dc-748f-4d49-9b03-90f59279d610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Document_x0020_Category"/>
                <xsd:element ref="ns2:Business_x0020_Owner"/>
                <xsd:element ref="ns2:Document_x0020_Number"/>
                <xsd:element ref="ns2:Effective_x0020_Date"/>
                <xsd:element ref="ns2:Mandatory_x0020_Review_x0020_Date"/>
                <xsd:element ref="ns2:Language" minOccurs="0"/>
                <xsd:element ref="ns2:Intended_x0020_Audience" minOccurs="0"/>
                <xsd:element ref="ns2:Corporate_x0020_Risk_x0020_Area" minOccurs="0"/>
                <xsd:element ref="ns2:Manager"/>
                <xsd:element ref="ns2:Topics_x0020_Covered" minOccurs="0"/>
                <xsd:element ref="ns2:Archive" minOccurs="0"/>
                <xsd:element ref="ns2:Archived_x0020_Date" minOccurs="0"/>
                <xsd:element ref="ns2:Comments" minOccurs="0"/>
                <xsd:element ref="ns2:Co_x002d_owned_x0020_By" minOccurs="0"/>
                <xsd:element ref="ns2:Document_x0020_Summary" minOccurs="0"/>
                <xsd:element ref="ns2:Referenced_x0020_in_x0020_policy_x0020_document" minOccurs="0"/>
                <xsd:element ref="ns2:Issuance_x0020_Year" minOccurs="0"/>
                <xsd:element ref="ns2:Last_x0020_Review_x0020_Date" minOccurs="0"/>
                <xsd:element ref="ns2:Links_x0020_to_x0020_Other_x0020_Knowledge_x0020__x0026__x0020_Information_x0020_Resources" minOccurs="0"/>
                <xsd:element ref="ns2:Links_x0020_to_x0020_Relevant_x0020_Guidance" minOccurs="0"/>
                <xsd:element ref="ns2:Links_x0020_to_x0020_Relevant_x0020_Policy" minOccurs="0"/>
                <xsd:element ref="ns2:Links_x0020_to_x0020_Relevant_x0020_Procedure" minOccurs="0"/>
                <xsd:element ref="ns2:Links_x0020_to_x0020_Relevant_x0020_Training_x0020_Materials" minOccurs="0"/>
                <xsd:element ref="ns2:Reference_x0020__x002f__x0020_Links_x0020_to_x0020_Enabling_x0020_Legislation_x0020_and_x0020_Background" minOccurs="0"/>
                <xsd:element ref="ns2:ReferenceURL" minOccurs="0"/>
                <xsd:element ref="ns2:ReferenceURLName" minOccurs="0"/>
                <xsd:element ref="ns2:Regulatory_x0020_content_x0020_the_x0020_Document_x0020_Replaces" minOccurs="0"/>
                <xsd:element ref="ns2:RelatedDocuments" minOccurs="0"/>
                <xsd:element ref="ns2:RelatedPolicies" minOccurs="0"/>
                <xsd:element ref="ns2:Topic" minOccurs="0"/>
                <xsd:element ref="ns2:MetricStreamId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eba930349ea471abec191d3eb2f454e" minOccurs="0"/>
                <xsd:element ref="ns4:TaxCatchAll" minOccurs="0"/>
                <xsd:element ref="ns2:RelatedDocuments_x003a_Document_x0020_ID_x0020_Value" minOccurs="0"/>
                <xsd:element ref="ns2:RelatedPolicies_x003a_Document_x0020_ID_x0020_Value" minOccurs="0"/>
                <xsd:element ref="ns3:_dlc_DocId" minOccurs="0"/>
                <xsd:element ref="ns3:_dlc_DocIdUrl" minOccurs="0"/>
                <xsd:element ref="ns2:Topic_x003a_Title" minOccurs="0"/>
                <xsd:element ref="ns3:_dlc_DocIdPersistId" minOccurs="0"/>
                <xsd:element ref="ns2:MediaServiceAutoKeyPoints" minOccurs="0"/>
                <xsd:element ref="ns2:eGRCManager" minOccurs="0"/>
                <xsd:element ref="ns2:DocumentAuthor" minOccurs="0"/>
                <xsd:element ref="ns2:UnicefDocu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27e36-db95-4d25-a8d8-d807b6bb7b59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2" ma:displayName="Document Category" ma:format="Dropdown" ma:internalName="Document_x0020_Category">
      <xsd:simpleType>
        <xsd:restriction base="dms:Choice">
          <xsd:enumeration value="Form"/>
          <xsd:enumeration value="Template"/>
          <xsd:enumeration value="Other"/>
          <xsd:enumeration value="SOPs"/>
          <xsd:enumeration value="FAQs"/>
          <xsd:enumeration value="Presentations"/>
        </xsd:restriction>
      </xsd:simpleType>
    </xsd:element>
    <xsd:element name="Business_x0020_Owner" ma:index="3" ma:displayName="Business Owner" ma:list="{32d44c81-058b-4477-9f9d-f80f79961b93}" ma:internalName="Business_x0020_Owner" ma:showField="Title">
      <xsd:simpleType>
        <xsd:restriction base="dms:Lookup"/>
      </xsd:simpleType>
    </xsd:element>
    <xsd:element name="Document_x0020_Number" ma:index="4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Effective_x0020_Date" ma:index="5" ma:displayName="Effective Date" ma:format="DateOnly" ma:internalName="Effective_x0020_Date" ma:readOnly="false">
      <xsd:simpleType>
        <xsd:restriction base="dms:DateTime"/>
      </xsd:simpleType>
    </xsd:element>
    <xsd:element name="Mandatory_x0020_Review_x0020_Date" ma:index="6" ma:displayName="Mandatory Review Date" ma:format="DateOnly" ma:internalName="Mandatory_x0020_Review_x0020_Date" ma:readOnly="false">
      <xsd:simpleType>
        <xsd:restriction base="dms:DateTime"/>
      </xsd:simpleType>
    </xsd:element>
    <xsd:element name="Language" ma:index="7" nillable="true" ma:displayName="Language" ma:default="English" ma:format="Dropdown" ma:internalName="Language">
      <xsd:simpleType>
        <xsd:restriction base="dms:Choice">
          <xsd:enumeration value="English"/>
          <xsd:enumeration value="Spanish"/>
          <xsd:enumeration value="French"/>
          <xsd:enumeration value="Arabic"/>
          <xsd:enumeration value="Russian"/>
        </xsd:restriction>
      </xsd:simpleType>
    </xsd:element>
    <xsd:element name="Intended_x0020_Audience" ma:index="8" nillable="true" ma:displayName="Intended Audience" ma:default="All UNICEF" ma:internalName="Intended_x0020_Audien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UNICEF"/>
                    <xsd:enumeration value="RO"/>
                    <xsd:enumeration value="CO"/>
                    <xsd:enumeration value="HQ"/>
                    <xsd:enumeration value="NatComs"/>
                    <xsd:enumeration value="Public"/>
                  </xsd:restriction>
                </xsd:simpleType>
              </xsd:element>
            </xsd:sequence>
          </xsd:extension>
        </xsd:complexContent>
      </xsd:complexType>
    </xsd:element>
    <xsd:element name="Corporate_x0020_Risk_x0020_Area" ma:index="9" nillable="true" ma:displayName="Corporate Risk Area" ma:internalName="Corporate_x0020_Risk_x0020_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al and Social Sustainability"/>
                    <xsd:enumeration value="Equitable Chance in Life: Equity"/>
                    <xsd:enumeration value="Financial Management"/>
                    <xsd:enumeration value="Fraud, Waste and Misuse of Resources"/>
                    <xsd:enumeration value="Funding and External Stakeholder Relations"/>
                    <xsd:enumeration value="Governance and Accountability"/>
                    <xsd:enumeration value="Human Resources"/>
                    <xsd:enumeration value="ICT Systems and Information Security"/>
                    <xsd:enumeration value="Learn: Education"/>
                    <xsd:enumeration value="Misconduct, Wrongful and Negligent Behavior Towards Others"/>
                    <xsd:enumeration value="Natural and Anthropogenic Hazards"/>
                    <xsd:enumeration value="Organizational Resilience Management"/>
                    <xsd:enumeration value="Organizational Strategy"/>
                    <xsd:enumeration value="Protection from Violence and Exploitation: Child Protection"/>
                    <xsd:enumeration value="Results-Based Management and Reporting"/>
                    <xsd:enumeration value="Safe and Clean Environment: Water, Sanitation and Hygiene- WASH"/>
                    <xsd:enumeration value="Supply and Logistics"/>
                    <xsd:enumeration value="Survive and Thrive: Health and Nutrition"/>
                  </xsd:restriction>
                </xsd:simpleType>
              </xsd:element>
            </xsd:sequence>
          </xsd:extension>
        </xsd:complexContent>
      </xsd:complexType>
    </xsd:element>
    <xsd:element name="Manager" ma:index="10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s_x0020_Covered" ma:index="11" nillable="true" ma:displayName="Topics Covered" ma:internalName="Topics_x0020_Covered">
      <xsd:simpleType>
        <xsd:restriction base="dms:Text">
          <xsd:maxLength value="255"/>
        </xsd:restriction>
      </xsd:simpleType>
    </xsd:element>
    <xsd:element name="Archive" ma:index="12" nillable="true" ma:displayName="Archive" ma:default="0" ma:internalName="Archive">
      <xsd:simpleType>
        <xsd:restriction base="dms:Boolean"/>
      </xsd:simpleType>
    </xsd:element>
    <xsd:element name="Archived_x0020_Date" ma:index="13" nillable="true" ma:displayName="Archived Date" ma:format="DateOnly" ma:internalName="Archived_x0020_Date">
      <xsd:simpleType>
        <xsd:restriction base="dms:DateTime"/>
      </xsd:simpleType>
    </xsd:element>
    <xsd:element name="Comments" ma:index="14" nillable="true" ma:displayName="Comments" ma:internalName="Comments">
      <xsd:simpleType>
        <xsd:restriction base="dms:Note">
          <xsd:maxLength value="255"/>
        </xsd:restriction>
      </xsd:simpleType>
    </xsd:element>
    <xsd:element name="Co_x002d_owned_x0020_By" ma:index="15" nillable="true" ma:displayName="Co-owned By" ma:list="{32d44c81-058b-4477-9f9d-f80f79961b93}" ma:internalName="Co_x002d_owned_x0020_B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Summary" ma:index="17" nillable="true" ma:displayName="Document Summary" ma:internalName="Document_x0020_Summary">
      <xsd:simpleType>
        <xsd:restriction base="dms:Note">
          <xsd:maxLength value="255"/>
        </xsd:restriction>
      </xsd:simpleType>
    </xsd:element>
    <xsd:element name="Referenced_x0020_in_x0020_policy_x0020_document" ma:index="18" nillable="true" ma:displayName="Referenced in policy document" ma:internalName="Referenced_x0020_in_x0020_policy_x0020_document">
      <xsd:simpleType>
        <xsd:restriction base="dms:Note">
          <xsd:maxLength value="255"/>
        </xsd:restriction>
      </xsd:simpleType>
    </xsd:element>
    <xsd:element name="Issuance_x0020_Year" ma:index="20" nillable="true" ma:displayName="Issuance Year" ma:format="Dropdown" ma:internalName="Issuance_x0020_Yea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</xsd:restriction>
      </xsd:simpleType>
    </xsd:element>
    <xsd:element name="Last_x0020_Review_x0020_Date" ma:index="21" nillable="true" ma:displayName="Last Review Date" ma:format="DateOnly" ma:internalName="Last_x0020_Review_x0020_Date">
      <xsd:simpleType>
        <xsd:restriction base="dms:DateTime"/>
      </xsd:simpleType>
    </xsd:element>
    <xsd:element name="Links_x0020_to_x0020_Other_x0020_Knowledge_x0020__x0026__x0020_Information_x0020_Resources" ma:index="22" nillable="true" ma:displayName="Links to Other Knowledge &amp; Information Resources" ma:internalName="Links_x0020_to_x0020_Other_x0020_Knowledge_x0020__x0026__x0020_Information_x0020_Resources">
      <xsd:simpleType>
        <xsd:restriction base="dms:Note">
          <xsd:maxLength value="255"/>
        </xsd:restriction>
      </xsd:simpleType>
    </xsd:element>
    <xsd:element name="Links_x0020_to_x0020_Relevant_x0020_Guidance" ma:index="23" nillable="true" ma:displayName="Links to Relevant Guidance" ma:internalName="Links_x0020_to_x0020_Relevant_x0020_Guidance">
      <xsd:simpleType>
        <xsd:restriction base="dms:Note">
          <xsd:maxLength value="255"/>
        </xsd:restriction>
      </xsd:simpleType>
    </xsd:element>
    <xsd:element name="Links_x0020_to_x0020_Relevant_x0020_Policy" ma:index="24" nillable="true" ma:displayName="Links to Relevant Policy" ma:internalName="Links_x0020_to_x0020_Relevant_x0020_Policy">
      <xsd:simpleType>
        <xsd:restriction base="dms:Note">
          <xsd:maxLength value="255"/>
        </xsd:restriction>
      </xsd:simpleType>
    </xsd:element>
    <xsd:element name="Links_x0020_to_x0020_Relevant_x0020_Procedure" ma:index="25" nillable="true" ma:displayName="Links to Relevant Procedure" ma:internalName="Links_x0020_to_x0020_Relevant_x0020_Procedure">
      <xsd:simpleType>
        <xsd:restriction base="dms:Note">
          <xsd:maxLength value="255"/>
        </xsd:restriction>
      </xsd:simpleType>
    </xsd:element>
    <xsd:element name="Links_x0020_to_x0020_Relevant_x0020_Training_x0020_Materials" ma:index="26" nillable="true" ma:displayName="Links to Relevant Training Materials" ma:internalName="Links_x0020_to_x0020_Relevant_x0020_Training_x0020_Materials">
      <xsd:simpleType>
        <xsd:restriction base="dms:Note">
          <xsd:maxLength value="255"/>
        </xsd:restriction>
      </xsd:simpleType>
    </xsd:element>
    <xsd:element name="Reference_x0020__x002f__x0020_Links_x0020_to_x0020_Enabling_x0020_Legislation_x0020_and_x0020_Background" ma:index="28" nillable="true" ma:displayName="Reference / Links to Enabling Legislation and Background" ma:internalName="Reference_x0020__x002f__x0020_Links_x0020_to_x0020_Enabling_x0020_Legislation_x0020_and_x0020_Background">
      <xsd:simpleType>
        <xsd:restriction base="dms:Note">
          <xsd:maxLength value="255"/>
        </xsd:restriction>
      </xsd:simpleType>
    </xsd:element>
    <xsd:element name="ReferenceURL" ma:index="29" nillable="true" ma:displayName="ReferenceURL" ma:internalName="ReferenceURL">
      <xsd:simpleType>
        <xsd:restriction base="dms:Note">
          <xsd:maxLength value="255"/>
        </xsd:restriction>
      </xsd:simpleType>
    </xsd:element>
    <xsd:element name="ReferenceURLName" ma:index="30" nillable="true" ma:displayName="ReferenceURLName" ma:internalName="ReferenceURLName">
      <xsd:simpleType>
        <xsd:restriction base="dms:Note">
          <xsd:maxLength value="255"/>
        </xsd:restriction>
      </xsd:simpleType>
    </xsd:element>
    <xsd:element name="Regulatory_x0020_content_x0020_the_x0020_Document_x0020_Replaces" ma:index="31" nillable="true" ma:displayName="Regulatory content the Document Replaces" ma:internalName="Regulatory_x0020_content_x0020_the_x0020_Document_x0020_Replaces">
      <xsd:simpleType>
        <xsd:restriction base="dms:Text">
          <xsd:maxLength value="255"/>
        </xsd:restriction>
      </xsd:simpleType>
    </xsd:element>
    <xsd:element name="RelatedDocuments" ma:index="33" nillable="true" ma:displayName="Related Documents" ma:list="{cff27e36-db95-4d25-a8d8-d807b6bb7b59}" ma:internalName="RelatedDocumen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Policies" ma:index="34" nillable="true" ma:displayName="Related Policies, Procedures, and Guidance" ma:list="{e1c96343-46b4-4845-8b1c-419863d1b6ae}" ma:internalName="RelatedPolici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" ma:index="36" nillable="true" ma:displayName="Topic" ma:list="{034a2a4f-7af5-446d-a522-e4266f682da9}" ma:internalName="Topic" ma:showField="Title">
      <xsd:simpleType>
        <xsd:restriction base="dms:Lookup"/>
      </xsd:simpleType>
    </xsd:element>
    <xsd:element name="MetricStreamId" ma:index="39" nillable="true" ma:displayName="MetricStreamId" ma:indexed="true" ma:internalName="MetricStreamId">
      <xsd:simpleType>
        <xsd:restriction base="dms:Text">
          <xsd:maxLength value="255"/>
        </xsd:restriction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jeba930349ea471abec191d3eb2f454e" ma:index="47" nillable="true" ma:taxonomy="true" ma:internalName="jeba930349ea471abec191d3eb2f454e" ma:taxonomyFieldName="Regulatory_x0020_Topics" ma:displayName="Regulatory Topics" ma:default="" ma:fieldId="{3eba9303-49ea-471a-bec1-91d3eb2f454e}" ma:taxonomyMulti="true" ma:sspId="73f51738-d318-4883-9d64-4f0bd0ccc55e" ma:termSetId="c4a40f39-db21-4350-bb2d-8dbf541c15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latedDocuments_x003a_Document_x0020_ID_x0020_Value" ma:index="50" nillable="true" ma:displayName="RelatedDocuments:Document ID Value" ma:list="{cff27e36-db95-4d25-a8d8-d807b6bb7b59}" ma:internalName="RelatedDocuments_x003a_Document_x0020_ID_x0020_Value" ma:readOnly="true" ma:showField="_dlc_DocId" ma:web="e623fe78-830c-4860-8949-e225b594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Policies_x003a_Document_x0020_ID_x0020_Value" ma:index="52" nillable="true" ma:displayName="RelatedPolicies:Document ID Value" ma:list="{e1c96343-46b4-4845-8b1c-419863d1b6ae}" ma:internalName="RelatedPolicies_x003a_Document_x0020_ID_x0020_Value" ma:readOnly="true" ma:showField="_dlc_DocId" ma:web="e623fe78-830c-4860-8949-e225b594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_x003a_Title" ma:index="55" nillable="true" ma:displayName="Topic:Title" ma:list="{034a2a4f-7af5-446d-a522-e4266f682da9}" ma:internalName="Topic_x003a_Title" ma:readOnly="true" ma:showField="Title" ma:web="e623fe78-830c-4860-8949-e225b594a802">
      <xsd:simpleType>
        <xsd:restriction base="dms:Lookup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eGRCManager" ma:index="60" nillable="true" ma:displayName="eGRCManager" ma:internalName="eGRCManager">
      <xsd:simpleType>
        <xsd:restriction base="dms:Text">
          <xsd:maxLength value="255"/>
        </xsd:restriction>
      </xsd:simpleType>
    </xsd:element>
    <xsd:element name="DocumentAuthor" ma:index="61" nillable="true" ma:displayName="DocumentAuthor" ma:list="UserInfo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cefDocumentNumber" ma:index="62" nillable="true" ma:displayName="Unicef Document Number" ma:internalName="Unicef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81dc-748f-4d49-9b03-90f59279d610" elementFormDefault="qualified">
    <xsd:import namespace="http://schemas.microsoft.com/office/2006/documentManagement/types"/>
    <xsd:import namespace="http://schemas.microsoft.com/office/infopath/2007/PartnerControls"/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48" nillable="true" ma:displayName="Taxonomy Catch All Column" ma:hidden="true" ma:list="{d4d6e66a-2387-4cb0-9005-84f5a87fb8a9}" ma:internalName="TaxCatchAll" ma:showField="CatchAllData" ma:web="990381dc-748f-4d49-9b03-90f59279d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A0EA-C7AA-49B9-B615-4E0F647ECA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4109AF-8B57-4772-A5F1-AF28367187C1}">
  <ds:schemaRefs>
    <ds:schemaRef ds:uri="cff27e36-db95-4d25-a8d8-d807b6bb7b5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ca283e0b-db31-4043-a2ef-b80661bf084a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0381dc-748f-4d49-9b03-90f59279d610"/>
  </ds:schemaRefs>
</ds:datastoreItem>
</file>

<file path=customXml/itemProps3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18AB0-B391-428A-9177-A0E18115E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27e36-db95-4d25-a8d8-d807b6bb7b59"/>
    <ds:schemaRef ds:uri="990381dc-748f-4d49-9b03-90f59279d610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CC813A-4BBD-4E87-A6E8-4A4A54BC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Assessment_En_19</dc:title>
  <dc:subject/>
  <dc:creator/>
  <cp:keywords/>
  <dc:description/>
  <cp:lastModifiedBy/>
  <cp:revision>1</cp:revision>
  <dcterms:created xsi:type="dcterms:W3CDTF">2022-10-04T16:57:00Z</dcterms:created>
  <dcterms:modified xsi:type="dcterms:W3CDTF">2022-10-04T16:57:00Z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0x010100A6A6E552187AC741A58E908B86A122C2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89d2e188-2911-4fa4-8a1b-7fc3c4362e13</vt:lpwstr>
  </property>
  <property fmtid="{D5CDD505-2E9C-101B-9397-08002B2CF9AE}" pid="9" name="Regulatory Topics">
    <vt:lpwstr/>
  </property>
</Properties>
</file>